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pacing w:val="-20"/>
          <w:sz w:val="72"/>
          <w:szCs w:val="72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pacing w:val="-2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72"/>
          <w:szCs w:val="72"/>
          <w:lang w:eastAsia="zh-CN"/>
        </w:rPr>
        <w:t>商洛市公司律师执业审批表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申请人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：</w:t>
      </w: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单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位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：</w:t>
      </w: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</w:pP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</w:pPr>
    </w:p>
    <w:p>
      <w:pPr>
        <w:ind w:firstLine="3080" w:firstLineChars="700"/>
        <w:jc w:val="both"/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>商洛市司法局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填表说明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此表应详细、认真如实填写；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提供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两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张二寸免冠近期蓝底照片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各类文件需提供原件和复印件，原件供审核用，复印件粘贴在表内横线相应位置；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此表一式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两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份，市司法局留存一份，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公司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律师所在单位人事部门留存一份。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tbl>
      <w:tblPr>
        <w:tblStyle w:val="5"/>
        <w:tblW w:w="9040" w:type="dxa"/>
        <w:jc w:val="center"/>
        <w:tblInd w:w="-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9"/>
        <w:gridCol w:w="1181"/>
        <w:gridCol w:w="431"/>
        <w:gridCol w:w="117"/>
        <w:gridCol w:w="557"/>
        <w:gridCol w:w="474"/>
        <w:gridCol w:w="606"/>
        <w:gridCol w:w="425"/>
        <w:gridCol w:w="629"/>
        <w:gridCol w:w="268"/>
        <w:gridCol w:w="134"/>
        <w:gridCol w:w="1032"/>
        <w:gridCol w:w="51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党派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处室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</w:tc>
        <w:tc>
          <w:tcPr>
            <w:tcW w:w="19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取得资格证时间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41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个人简历（从接受高等教育开始）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单位（学校）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从事法律服务工作经历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5" w:hRule="atLeast"/>
          <w:jc w:val="center"/>
        </w:trPr>
        <w:tc>
          <w:tcPr>
            <w:tcW w:w="9040" w:type="dxa"/>
            <w:gridSpan w:val="15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申请书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保证书</w:t>
            </w:r>
          </w:p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本人获准担任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</w:rPr>
              <w:t>律师职务后，保证做到：</w:t>
            </w:r>
          </w:p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1、接受司法行政机关的业务指导和监督；</w:t>
            </w:r>
          </w:p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2、不从事有偿法律服务，不在律师事务所和法律服务所兼职；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不以律师身份办理本单位以外的诉讼与非诉讼案件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。</w:t>
            </w:r>
          </w:p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如有违反本人自愿接受司法行政机关的处理。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保证人：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5" w:hRule="atLeast"/>
          <w:jc w:val="center"/>
        </w:trPr>
        <w:tc>
          <w:tcPr>
            <w:tcW w:w="904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法律职业资格证书（复印件）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学历证书、职称证书复印件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身份证、工作证复印件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户籍所在地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出具的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未受刑事处罚的有关证明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复印件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17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法定代表人印鉴              单位盖章：</w:t>
            </w:r>
          </w:p>
          <w:p>
            <w:pPr>
              <w:ind w:firstLine="5760" w:firstLineChars="180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179" w:type="dxa"/>
            <w:gridSpan w:val="1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盖  章：</w:t>
            </w:r>
          </w:p>
          <w:p>
            <w:pPr>
              <w:tabs>
                <w:tab w:val="left" w:pos="8190"/>
              </w:tabs>
              <w:ind w:firstLine="64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注</w:t>
            </w:r>
          </w:p>
        </w:tc>
        <w:tc>
          <w:tcPr>
            <w:tcW w:w="817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1D5F"/>
    <w:multiLevelType w:val="singleLevel"/>
    <w:tmpl w:val="5A701D5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4719"/>
    <w:rsid w:val="05703CE8"/>
    <w:rsid w:val="095674E0"/>
    <w:rsid w:val="10A153DE"/>
    <w:rsid w:val="1B9A4E38"/>
    <w:rsid w:val="1E4D6817"/>
    <w:rsid w:val="2219567E"/>
    <w:rsid w:val="24154719"/>
    <w:rsid w:val="242E077D"/>
    <w:rsid w:val="27DE2956"/>
    <w:rsid w:val="317F7DD7"/>
    <w:rsid w:val="4BEE4601"/>
    <w:rsid w:val="4F375353"/>
    <w:rsid w:val="54853DBA"/>
    <w:rsid w:val="56544BD7"/>
    <w:rsid w:val="60F16850"/>
    <w:rsid w:val="642013E0"/>
    <w:rsid w:val="686D426E"/>
    <w:rsid w:val="7AC751F2"/>
    <w:rsid w:val="7F5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2018-01-30T07:01:00Z</dcterms:created>
  <dc:creator>豆豆</dc:creator>
  <cp:lastModifiedBy>豆豆</cp:lastModifiedBy>
  <dcterms:modified xsi:type="dcterms:W3CDTF">2018-02-01T02:54:11Z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